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88" w:rsidRPr="0052552B" w:rsidRDefault="00027F88" w:rsidP="00BF23C7">
      <w:pPr>
        <w:spacing w:line="240" w:lineRule="auto"/>
        <w:jc w:val="both"/>
        <w:rPr>
          <w:rFonts w:ascii="ING Me" w:hAnsi="ING Me"/>
          <w:bCs/>
          <w:szCs w:val="20"/>
          <w:lang w:val="pl-PL"/>
        </w:rPr>
      </w:pPr>
      <w:bookmarkStart w:id="0" w:name="_GoBack"/>
      <w:bookmarkEnd w:id="0"/>
      <w:r w:rsidRPr="0052552B">
        <w:rPr>
          <w:rFonts w:ascii="ING Me" w:hAnsi="ING Me"/>
          <w:bCs/>
          <w:szCs w:val="20"/>
          <w:lang w:val="pl-PL"/>
        </w:rPr>
        <w:t>Treść proponowanych zmian do Statutu ING Banku Hipotecznego S.A.</w:t>
      </w:r>
      <w:r w:rsidR="00BF23C7" w:rsidRPr="0052552B">
        <w:rPr>
          <w:rFonts w:ascii="ING Me" w:hAnsi="ING Me"/>
          <w:bCs/>
          <w:szCs w:val="20"/>
          <w:lang w:val="pl-PL"/>
        </w:rPr>
        <w:t xml:space="preserve"> z</w:t>
      </w:r>
      <w:r w:rsidRPr="0052552B">
        <w:rPr>
          <w:rFonts w:ascii="ING Me" w:hAnsi="ING Me"/>
          <w:bCs/>
          <w:szCs w:val="20"/>
          <w:lang w:val="pl-PL"/>
        </w:rPr>
        <w:t>ostał</w:t>
      </w:r>
      <w:r w:rsidR="00BF23C7" w:rsidRPr="0052552B">
        <w:rPr>
          <w:rFonts w:ascii="ING Me" w:hAnsi="ING Me"/>
          <w:bCs/>
          <w:szCs w:val="20"/>
          <w:lang w:val="pl-PL"/>
        </w:rPr>
        <w:t>a</w:t>
      </w:r>
      <w:r w:rsidRPr="0052552B">
        <w:rPr>
          <w:rFonts w:ascii="ING Me" w:hAnsi="ING Me"/>
          <w:bCs/>
          <w:szCs w:val="20"/>
          <w:lang w:val="pl-PL"/>
        </w:rPr>
        <w:t xml:space="preserve"> zatwierdzon</w:t>
      </w:r>
      <w:r w:rsidR="00BF23C7" w:rsidRPr="0052552B">
        <w:rPr>
          <w:rFonts w:ascii="ING Me" w:hAnsi="ING Me"/>
          <w:bCs/>
          <w:szCs w:val="20"/>
          <w:lang w:val="pl-PL"/>
        </w:rPr>
        <w:t>a</w:t>
      </w:r>
      <w:r w:rsidRPr="0052552B">
        <w:rPr>
          <w:rFonts w:ascii="ING Me" w:hAnsi="ING Me"/>
          <w:bCs/>
          <w:szCs w:val="20"/>
          <w:lang w:val="pl-PL"/>
        </w:rPr>
        <w:t xml:space="preserve"> Uchwałami Rady Nadzorczej ING Banku Hipotecznego nr</w:t>
      </w:r>
      <w:r w:rsidR="00BF23C7" w:rsidRPr="0052552B">
        <w:rPr>
          <w:rFonts w:ascii="ING Me" w:hAnsi="ING Me"/>
          <w:bCs/>
          <w:szCs w:val="20"/>
          <w:lang w:val="pl-PL"/>
        </w:rPr>
        <w:t xml:space="preserve"> 5/2/2023 oraz 6/2/2034</w:t>
      </w:r>
      <w:r w:rsidRPr="0052552B">
        <w:rPr>
          <w:rFonts w:ascii="ING Me" w:hAnsi="ING Me"/>
          <w:bCs/>
          <w:szCs w:val="20"/>
          <w:lang w:val="pl-PL"/>
        </w:rPr>
        <w:t xml:space="preserve"> </w:t>
      </w:r>
      <w:r w:rsidR="00BF23C7" w:rsidRPr="0052552B">
        <w:rPr>
          <w:rFonts w:ascii="ING Me" w:hAnsi="ING Me"/>
          <w:bCs/>
          <w:szCs w:val="20"/>
          <w:lang w:val="pl-PL"/>
        </w:rPr>
        <w:br/>
      </w:r>
      <w:r w:rsidRPr="0052552B">
        <w:rPr>
          <w:rFonts w:ascii="ING Me" w:hAnsi="ING Me"/>
          <w:bCs/>
          <w:szCs w:val="20"/>
          <w:lang w:val="pl-PL"/>
        </w:rPr>
        <w:t>z dni</w:t>
      </w:r>
      <w:r w:rsidR="00BF23C7" w:rsidRPr="0052552B">
        <w:rPr>
          <w:rFonts w:ascii="ING Me" w:hAnsi="ING Me"/>
          <w:bCs/>
          <w:szCs w:val="20"/>
          <w:lang w:val="pl-PL"/>
        </w:rPr>
        <w:t>a 10 lutego 2023 r.</w:t>
      </w:r>
    </w:p>
    <w:p w:rsidR="00027F88" w:rsidRPr="0052552B" w:rsidRDefault="00027F88" w:rsidP="00027F88">
      <w:pPr>
        <w:spacing w:line="240" w:lineRule="auto"/>
        <w:jc w:val="center"/>
        <w:rPr>
          <w:rFonts w:ascii="ING Me" w:hAnsi="ING Me"/>
          <w:bCs/>
          <w:szCs w:val="20"/>
          <w:lang w:val="pl-PL"/>
        </w:rPr>
      </w:pPr>
    </w:p>
    <w:p w:rsidR="00027F88" w:rsidRPr="0052552B" w:rsidRDefault="00027F88" w:rsidP="00027F88">
      <w:pPr>
        <w:pStyle w:val="Default"/>
        <w:rPr>
          <w:rFonts w:ascii="ING Me" w:hAnsi="ING Me"/>
          <w:sz w:val="20"/>
          <w:szCs w:val="20"/>
          <w:lang w:val="pl-PL"/>
        </w:rPr>
      </w:pPr>
    </w:p>
    <w:p w:rsidR="00027F88" w:rsidRPr="0052552B" w:rsidRDefault="00BF23C7" w:rsidP="00BF23C7">
      <w:pPr>
        <w:pStyle w:val="Default"/>
        <w:numPr>
          <w:ilvl w:val="0"/>
          <w:numId w:val="7"/>
        </w:numPr>
        <w:ind w:left="426"/>
        <w:jc w:val="both"/>
        <w:rPr>
          <w:rFonts w:ascii="ING Me" w:hAnsi="ING Me"/>
          <w:bCs/>
          <w:i/>
          <w:iCs/>
          <w:color w:val="auto"/>
          <w:sz w:val="20"/>
          <w:szCs w:val="20"/>
          <w:lang w:val="pl-PL"/>
        </w:rPr>
      </w:pPr>
      <w:r w:rsidRPr="0052552B">
        <w:rPr>
          <w:rFonts w:ascii="ING Me" w:hAnsi="ING Me"/>
          <w:bCs/>
          <w:sz w:val="20"/>
          <w:szCs w:val="20"/>
          <w:lang w:val="pl-PL"/>
        </w:rPr>
        <w:t>Z</w:t>
      </w:r>
      <w:r w:rsidR="00027F88" w:rsidRPr="0052552B">
        <w:rPr>
          <w:rFonts w:ascii="ING Me" w:hAnsi="ING Me"/>
          <w:bCs/>
          <w:sz w:val="20"/>
          <w:szCs w:val="20"/>
          <w:lang w:val="pl-PL"/>
        </w:rPr>
        <w:t xml:space="preserve">miany </w:t>
      </w:r>
      <w:r w:rsidR="00027F88" w:rsidRPr="0052552B">
        <w:rPr>
          <w:rFonts w:ascii="ING Me" w:hAnsi="ING Me"/>
          <w:bCs/>
          <w:i/>
          <w:sz w:val="20"/>
          <w:szCs w:val="20"/>
          <w:lang w:val="pl-PL"/>
        </w:rPr>
        <w:t>Statutu</w:t>
      </w:r>
      <w:r w:rsidR="00027F88" w:rsidRPr="0052552B">
        <w:rPr>
          <w:rFonts w:ascii="ING Me" w:hAnsi="ING Me"/>
          <w:bCs/>
          <w:sz w:val="20"/>
          <w:szCs w:val="20"/>
          <w:lang w:val="pl-PL"/>
        </w:rPr>
        <w:t xml:space="preserve"> </w:t>
      </w:r>
      <w:r w:rsidR="00027F88" w:rsidRPr="0052552B">
        <w:rPr>
          <w:rFonts w:ascii="ING Me" w:hAnsi="ING Me"/>
          <w:bCs/>
          <w:i/>
          <w:iCs/>
          <w:sz w:val="20"/>
          <w:szCs w:val="20"/>
          <w:lang w:val="pl-PL"/>
        </w:rPr>
        <w:t>ING Banku Hipote</w:t>
      </w:r>
      <w:r w:rsidR="00027F88" w:rsidRPr="0052552B">
        <w:rPr>
          <w:rFonts w:ascii="ING Me" w:hAnsi="ING Me"/>
          <w:bCs/>
          <w:i/>
          <w:iCs/>
          <w:color w:val="auto"/>
          <w:sz w:val="20"/>
          <w:szCs w:val="20"/>
          <w:lang w:val="pl-PL"/>
        </w:rPr>
        <w:t>cznego S.A.</w:t>
      </w:r>
      <w:r w:rsidR="00027F88" w:rsidRPr="0052552B">
        <w:rPr>
          <w:rFonts w:ascii="ING Me" w:hAnsi="ING Me"/>
          <w:bCs/>
          <w:iCs/>
          <w:color w:val="auto"/>
          <w:sz w:val="20"/>
          <w:szCs w:val="20"/>
          <w:lang w:val="pl-PL"/>
        </w:rPr>
        <w:t xml:space="preserve"> obejmując</w:t>
      </w:r>
      <w:r w:rsidRPr="0052552B">
        <w:rPr>
          <w:rFonts w:ascii="ING Me" w:hAnsi="ING Me"/>
          <w:bCs/>
          <w:iCs/>
          <w:color w:val="auto"/>
          <w:sz w:val="20"/>
          <w:szCs w:val="20"/>
          <w:lang w:val="pl-PL"/>
        </w:rPr>
        <w:t>e</w:t>
      </w:r>
      <w:r w:rsidR="00027F88" w:rsidRPr="0052552B">
        <w:rPr>
          <w:rFonts w:ascii="ING Me" w:hAnsi="ING Me"/>
          <w:bCs/>
          <w:iCs/>
          <w:color w:val="auto"/>
          <w:sz w:val="20"/>
          <w:szCs w:val="20"/>
          <w:lang w:val="pl-PL"/>
        </w:rPr>
        <w:t xml:space="preserve"> skrócenie długości kadencji Zarządu oraz Rady Nadzorczej począwszy od nowej kadencji tych organów oraz określenia zasad sprawowania kadencji.</w:t>
      </w:r>
    </w:p>
    <w:p w:rsidR="00027F88" w:rsidRPr="00263F45" w:rsidRDefault="00027F88" w:rsidP="00027F88">
      <w:pPr>
        <w:spacing w:line="240" w:lineRule="auto"/>
        <w:jc w:val="center"/>
        <w:rPr>
          <w:rFonts w:ascii="ING Me" w:hAnsi="ING Me"/>
          <w:bCs/>
          <w:color w:val="000000"/>
          <w:szCs w:val="20"/>
          <w:highlight w:val="yellow"/>
          <w:lang w:val="pl-PL"/>
        </w:rPr>
      </w:pPr>
    </w:p>
    <w:p w:rsidR="00027F88" w:rsidRPr="00263F45" w:rsidRDefault="00027F88" w:rsidP="00027F88">
      <w:pPr>
        <w:spacing w:line="240" w:lineRule="auto"/>
        <w:rPr>
          <w:rFonts w:ascii="ING Me" w:hAnsi="ING Me"/>
          <w:bCs/>
          <w:color w:val="000000"/>
          <w:szCs w:val="20"/>
          <w:highlight w:val="yellow"/>
          <w:lang w:val="pl-PL"/>
        </w:rPr>
      </w:pPr>
    </w:p>
    <w:p w:rsidR="00027F88" w:rsidRPr="00263F45" w:rsidRDefault="00027F88" w:rsidP="0052552B">
      <w:pPr>
        <w:pStyle w:val="Akapitzlist"/>
        <w:numPr>
          <w:ilvl w:val="1"/>
          <w:numId w:val="2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  <w:r w:rsidRPr="0099200B">
        <w:rPr>
          <w:rFonts w:ascii="ING Me" w:hAnsi="ING Me"/>
          <w:bCs/>
          <w:color w:val="000000"/>
          <w:szCs w:val="20"/>
          <w:lang w:val="pl-PL"/>
        </w:rPr>
        <w:t>§ 20 ust. 3 otrzymuje brzmienie:</w:t>
      </w:r>
    </w:p>
    <w:p w:rsidR="00027F88" w:rsidRPr="0099200B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</w:p>
    <w:p w:rsidR="00027F88" w:rsidRPr="0052552B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jc w:val="both"/>
        <w:rPr>
          <w:rFonts w:ascii="ING Me" w:hAnsi="ING Me"/>
          <w:b/>
          <w:bCs/>
          <w:color w:val="000000"/>
          <w:szCs w:val="20"/>
          <w:lang w:val="pl-PL"/>
        </w:rPr>
      </w:pPr>
      <w:r w:rsidRPr="0052552B">
        <w:rPr>
          <w:rFonts w:ascii="ING Me" w:hAnsi="ING Me"/>
          <w:b/>
          <w:bCs/>
          <w:color w:val="000000"/>
          <w:szCs w:val="20"/>
          <w:lang w:val="pl-PL"/>
        </w:rPr>
        <w:t>„</w:t>
      </w:r>
      <w:r w:rsidR="00700D3A">
        <w:rPr>
          <w:rFonts w:ascii="ING Me" w:hAnsi="ING Me"/>
          <w:b/>
          <w:bCs/>
          <w:color w:val="000000"/>
          <w:szCs w:val="20"/>
          <w:lang w:val="pl-PL"/>
        </w:rPr>
        <w:t xml:space="preserve">3. </w:t>
      </w:r>
      <w:r w:rsidRPr="0052552B">
        <w:rPr>
          <w:rFonts w:ascii="ING Me" w:hAnsi="ING Me"/>
          <w:b/>
          <w:bCs/>
          <w:color w:val="000000"/>
          <w:szCs w:val="20"/>
          <w:lang w:val="pl-PL"/>
        </w:rPr>
        <w:t>Kadencja Rady Nadzorczej trwa trzy lata i jest kadencją wspólną. Kadencję oblicza się w pełnych latach obrotowych. W przypadku dokonania zmiany w składzie Rady Nadzorczej w trakcie jej kadencji, mandat członka Rady Nadzorczej powołanego w trakcie kadencji wygasa wraz z upływem kadencji Rady Nadzorczej.”</w:t>
      </w:r>
    </w:p>
    <w:p w:rsidR="00027F88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</w:p>
    <w:p w:rsidR="00700D3A" w:rsidRDefault="00700D3A" w:rsidP="0052552B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  <w:r>
        <w:rPr>
          <w:rFonts w:ascii="ING Me" w:hAnsi="ING Me"/>
          <w:bCs/>
          <w:color w:val="000000"/>
          <w:szCs w:val="20"/>
          <w:lang w:val="pl-PL"/>
        </w:rPr>
        <w:t>Dotychczasowe brzmienie:</w:t>
      </w:r>
    </w:p>
    <w:p w:rsidR="00700D3A" w:rsidRPr="00D32E3C" w:rsidRDefault="00700D3A" w:rsidP="00700D3A">
      <w:pPr>
        <w:keepLines/>
        <w:spacing w:before="120" w:line="240" w:lineRule="auto"/>
        <w:ind w:left="708"/>
        <w:jc w:val="both"/>
        <w:rPr>
          <w:rFonts w:ascii="ING Me" w:hAnsi="ING Me" w:cs="Times New Roman"/>
        </w:rPr>
      </w:pPr>
      <w:r>
        <w:rPr>
          <w:rFonts w:ascii="ING Me" w:hAnsi="ING Me" w:cs="Times New Roman"/>
        </w:rPr>
        <w:t xml:space="preserve">“3. </w:t>
      </w:r>
      <w:r w:rsidRPr="00D32E3C">
        <w:rPr>
          <w:rFonts w:ascii="ING Me" w:hAnsi="ING Me" w:cs="Times New Roman"/>
        </w:rPr>
        <w:t>Kadencja Rady Nadzorczej trwa pięć lat. W przypadku dokonania zmiany w składzie Rady Nadzorczej w trakcie jej kadencji, mandat członka Rady Nadzorczej powołanego w trakcie kadencji wygasa wraz z upływem kadencji Rady Nadzorczej.</w:t>
      </w:r>
      <w:r>
        <w:rPr>
          <w:rFonts w:ascii="ING Me" w:hAnsi="ING Me" w:cs="Times New Roman"/>
        </w:rPr>
        <w:t>”</w:t>
      </w:r>
    </w:p>
    <w:p w:rsidR="00700D3A" w:rsidRPr="00700D3A" w:rsidRDefault="00700D3A" w:rsidP="0052552B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nl-NL"/>
        </w:rPr>
      </w:pPr>
    </w:p>
    <w:p w:rsidR="00700D3A" w:rsidRPr="00263F45" w:rsidRDefault="00700D3A" w:rsidP="0052552B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</w:p>
    <w:p w:rsidR="00027F88" w:rsidRPr="0099200B" w:rsidRDefault="00027F88" w:rsidP="0052552B">
      <w:pPr>
        <w:pStyle w:val="Akapitzlist"/>
        <w:numPr>
          <w:ilvl w:val="1"/>
          <w:numId w:val="2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  <w:r w:rsidRPr="0099200B">
        <w:rPr>
          <w:rFonts w:ascii="ING Me" w:hAnsi="ING Me"/>
          <w:bCs/>
          <w:color w:val="000000"/>
          <w:szCs w:val="20"/>
          <w:lang w:val="pl-PL"/>
        </w:rPr>
        <w:t>§ 27 ust. 3 utrzymuje brzmienie:</w:t>
      </w:r>
    </w:p>
    <w:p w:rsidR="00027F88" w:rsidRPr="0099200B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</w:p>
    <w:p w:rsidR="00027F88" w:rsidRPr="0052552B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jc w:val="both"/>
        <w:rPr>
          <w:rFonts w:ascii="ING Me" w:hAnsi="ING Me"/>
          <w:b/>
          <w:bCs/>
          <w:color w:val="000000"/>
          <w:szCs w:val="20"/>
          <w:lang w:val="pl-PL"/>
        </w:rPr>
      </w:pPr>
      <w:r w:rsidRPr="0052552B">
        <w:rPr>
          <w:rFonts w:ascii="ING Me" w:hAnsi="ING Me"/>
          <w:b/>
          <w:bCs/>
          <w:color w:val="000000"/>
          <w:szCs w:val="20"/>
          <w:lang w:val="pl-PL"/>
        </w:rPr>
        <w:t>„</w:t>
      </w:r>
      <w:r w:rsidR="00700D3A">
        <w:rPr>
          <w:rFonts w:ascii="ING Me" w:hAnsi="ING Me"/>
          <w:b/>
          <w:bCs/>
          <w:color w:val="000000"/>
          <w:szCs w:val="20"/>
          <w:lang w:val="pl-PL"/>
        </w:rPr>
        <w:t xml:space="preserve">3. </w:t>
      </w:r>
      <w:r w:rsidRPr="0052552B">
        <w:rPr>
          <w:rFonts w:ascii="ING Me" w:hAnsi="ING Me"/>
          <w:b/>
          <w:bCs/>
          <w:color w:val="000000"/>
          <w:szCs w:val="20"/>
          <w:lang w:val="pl-PL"/>
        </w:rPr>
        <w:t>Kadencja Zarządu trwa trzy lata i jest kadencją wspólną. Kadencję oblicza się w pełnych latach obrotowych. W przypadku dokonania zmiany w składzie Zarządu w trakcie jego kadencji, mandat członka Zarządu powołanego w trakcie kadencji wygasa z upływem kadencji Zarządu.”</w:t>
      </w:r>
    </w:p>
    <w:p w:rsidR="00700D3A" w:rsidRDefault="00700D3A" w:rsidP="00700D3A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</w:p>
    <w:p w:rsidR="00700D3A" w:rsidRDefault="00700D3A" w:rsidP="00700D3A">
      <w:pPr>
        <w:pStyle w:val="Akapitzlist"/>
        <w:numPr>
          <w:ilvl w:val="0"/>
          <w:numId w:val="0"/>
        </w:numPr>
        <w:spacing w:line="240" w:lineRule="auto"/>
        <w:ind w:left="709"/>
        <w:rPr>
          <w:rFonts w:ascii="ING Me" w:hAnsi="ING Me"/>
          <w:bCs/>
          <w:color w:val="000000"/>
          <w:szCs w:val="20"/>
          <w:lang w:val="pl-PL"/>
        </w:rPr>
      </w:pPr>
      <w:r>
        <w:rPr>
          <w:rFonts w:ascii="ING Me" w:hAnsi="ING Me"/>
          <w:bCs/>
          <w:color w:val="000000"/>
          <w:szCs w:val="20"/>
          <w:lang w:val="pl-PL"/>
        </w:rPr>
        <w:t>Dotychczasowe brzmienie:</w:t>
      </w:r>
    </w:p>
    <w:p w:rsidR="00700D3A" w:rsidRPr="00D32E3C" w:rsidRDefault="00700D3A" w:rsidP="00700D3A">
      <w:pPr>
        <w:keepLines/>
        <w:spacing w:before="120" w:line="240" w:lineRule="auto"/>
        <w:ind w:left="708"/>
        <w:jc w:val="both"/>
        <w:rPr>
          <w:rFonts w:ascii="ING Me" w:hAnsi="ING Me" w:cs="Times New Roman"/>
          <w:spacing w:val="-3"/>
        </w:rPr>
      </w:pPr>
      <w:r>
        <w:rPr>
          <w:rFonts w:ascii="ING Me" w:hAnsi="ING Me" w:cs="Times New Roman"/>
        </w:rPr>
        <w:t xml:space="preserve">“3. </w:t>
      </w:r>
      <w:r w:rsidRPr="00D32E3C">
        <w:rPr>
          <w:rFonts w:ascii="ING Me" w:hAnsi="ING Me" w:cs="Times New Roman"/>
        </w:rPr>
        <w:t xml:space="preserve">Kadencja Zarządu trwa pięć lat. </w:t>
      </w:r>
      <w:r w:rsidRPr="00D32E3C">
        <w:rPr>
          <w:rFonts w:ascii="ING Me" w:hAnsi="ING Me" w:cs="Times New Roman"/>
          <w:spacing w:val="-3"/>
        </w:rPr>
        <w:t>W przypadku dokonania zmiany w składzie Zarządu w trakcie jego kadencji, mandat członka Zarządu powołanego w trakcie kadencji wygasa z upływem kadencji Zarządu.</w:t>
      </w:r>
      <w:r>
        <w:rPr>
          <w:rFonts w:ascii="ING Me" w:hAnsi="ING Me" w:cs="Times New Roman"/>
          <w:spacing w:val="-3"/>
        </w:rPr>
        <w:t>”</w:t>
      </w:r>
    </w:p>
    <w:p w:rsidR="00027F88" w:rsidRPr="00700D3A" w:rsidRDefault="00027F88" w:rsidP="00027F88">
      <w:pPr>
        <w:pStyle w:val="Akapitzlist"/>
        <w:numPr>
          <w:ilvl w:val="0"/>
          <w:numId w:val="0"/>
        </w:numPr>
        <w:spacing w:line="240" w:lineRule="auto"/>
        <w:ind w:left="720"/>
        <w:jc w:val="both"/>
        <w:rPr>
          <w:rFonts w:ascii="ING Me" w:hAnsi="ING Me"/>
          <w:bCs/>
          <w:color w:val="000000"/>
          <w:szCs w:val="20"/>
          <w:lang w:val="nl-NL"/>
        </w:rPr>
      </w:pPr>
    </w:p>
    <w:p w:rsidR="00027F88" w:rsidRPr="0099200B" w:rsidRDefault="00027F88" w:rsidP="00027F88">
      <w:pPr>
        <w:autoSpaceDE w:val="0"/>
        <w:autoSpaceDN w:val="0"/>
        <w:adjustRightInd w:val="0"/>
        <w:spacing w:line="240" w:lineRule="auto"/>
        <w:jc w:val="center"/>
        <w:rPr>
          <w:rFonts w:ascii="ING Me" w:hAnsi="ING Me" w:cs="CIDFont+F4"/>
          <w:szCs w:val="20"/>
          <w:lang w:val="pl-PL"/>
        </w:rPr>
      </w:pPr>
    </w:p>
    <w:p w:rsidR="00027F88" w:rsidRPr="0052552B" w:rsidRDefault="0052552B" w:rsidP="0052552B">
      <w:pPr>
        <w:autoSpaceDE w:val="0"/>
        <w:autoSpaceDN w:val="0"/>
        <w:adjustRightInd w:val="0"/>
        <w:spacing w:line="240" w:lineRule="auto"/>
        <w:jc w:val="both"/>
        <w:rPr>
          <w:rFonts w:ascii="ING Me" w:hAnsi="ING Me" w:cs="CIDFont+F3"/>
          <w:szCs w:val="20"/>
          <w:lang w:val="pl-PL"/>
        </w:rPr>
      </w:pPr>
      <w:r>
        <w:rPr>
          <w:rFonts w:ascii="ING Me" w:hAnsi="ING Me" w:cs="CIDFont+F3"/>
          <w:szCs w:val="20"/>
          <w:lang w:val="pl-PL"/>
        </w:rPr>
        <w:t>Powyższe z</w:t>
      </w:r>
      <w:r w:rsidR="00027F88" w:rsidRPr="0052552B">
        <w:rPr>
          <w:rFonts w:ascii="ING Me" w:hAnsi="ING Me" w:cs="CIDFont+F3"/>
          <w:szCs w:val="20"/>
          <w:lang w:val="pl-PL"/>
        </w:rPr>
        <w:t>miany</w:t>
      </w:r>
      <w:r>
        <w:rPr>
          <w:rFonts w:ascii="ING Me" w:hAnsi="ING Me" w:cs="CIDFont+F3"/>
          <w:szCs w:val="20"/>
          <w:lang w:val="pl-PL"/>
        </w:rPr>
        <w:t xml:space="preserve"> </w:t>
      </w:r>
      <w:r w:rsidR="00027F88" w:rsidRPr="0052552B">
        <w:rPr>
          <w:rFonts w:ascii="ING Me" w:hAnsi="ING Me" w:cs="CIDFont+F3"/>
          <w:szCs w:val="20"/>
          <w:lang w:val="pl-PL"/>
        </w:rPr>
        <w:t>znajdują zastosowanie do kadencji Rady Nadzorczej oraz Zarządu, które rozpoczną się po dniu wpisu uchwalonych zmian do rejestru przedsiębiorców Krajowego Rejestru Sądowego.</w:t>
      </w:r>
    </w:p>
    <w:p w:rsidR="00027F88" w:rsidRPr="00263F45" w:rsidRDefault="00027F88" w:rsidP="00027F88">
      <w:pPr>
        <w:spacing w:line="240" w:lineRule="auto"/>
        <w:jc w:val="both"/>
        <w:rPr>
          <w:rFonts w:ascii="ING Me" w:hAnsi="ING Me"/>
          <w:bCs/>
          <w:color w:val="000000"/>
          <w:szCs w:val="20"/>
          <w:highlight w:val="yellow"/>
          <w:lang w:val="pl-PL"/>
        </w:rPr>
      </w:pPr>
    </w:p>
    <w:p w:rsidR="00027F88" w:rsidRPr="00263F45" w:rsidRDefault="00027F88" w:rsidP="00027F88">
      <w:pPr>
        <w:spacing w:line="240" w:lineRule="auto"/>
        <w:jc w:val="both"/>
        <w:rPr>
          <w:rFonts w:ascii="ING Me" w:hAnsi="ING Me"/>
          <w:bCs/>
          <w:color w:val="000000"/>
          <w:szCs w:val="20"/>
          <w:highlight w:val="yellow"/>
          <w:lang w:val="pl-PL"/>
        </w:rPr>
      </w:pPr>
    </w:p>
    <w:p w:rsidR="00027F88" w:rsidRPr="00263F45" w:rsidRDefault="00027F88" w:rsidP="00027F88">
      <w:pPr>
        <w:spacing w:line="240" w:lineRule="auto"/>
        <w:jc w:val="both"/>
        <w:rPr>
          <w:rFonts w:ascii="ING Me" w:hAnsi="ING Me"/>
          <w:bCs/>
          <w:szCs w:val="20"/>
          <w:highlight w:val="yellow"/>
          <w:lang w:val="pl-PL"/>
        </w:rPr>
      </w:pPr>
      <w:bookmarkStart w:id="1" w:name="_DV_M69"/>
      <w:bookmarkStart w:id="2" w:name="_DV_C24"/>
      <w:bookmarkStart w:id="3" w:name="_DV_M164"/>
      <w:bookmarkStart w:id="4" w:name="_DV_C34"/>
      <w:bookmarkStart w:id="5" w:name="_DV_X36"/>
      <w:bookmarkEnd w:id="1"/>
      <w:bookmarkEnd w:id="2"/>
      <w:bookmarkEnd w:id="3"/>
      <w:bookmarkEnd w:id="4"/>
      <w:bookmarkEnd w:id="5"/>
    </w:p>
    <w:p w:rsidR="00027F88" w:rsidRPr="0052552B" w:rsidRDefault="00BF23C7" w:rsidP="00BF23C7">
      <w:pPr>
        <w:pStyle w:val="Default"/>
        <w:numPr>
          <w:ilvl w:val="0"/>
          <w:numId w:val="7"/>
        </w:numPr>
        <w:ind w:left="426"/>
        <w:jc w:val="both"/>
        <w:rPr>
          <w:rFonts w:ascii="ING Me" w:hAnsi="ING Me"/>
          <w:bCs/>
          <w:iCs/>
          <w:color w:val="auto"/>
          <w:sz w:val="20"/>
          <w:szCs w:val="20"/>
          <w:lang w:val="pl-PL"/>
        </w:rPr>
      </w:pPr>
      <w:r w:rsidRPr="0052552B">
        <w:rPr>
          <w:rFonts w:ascii="ING Me" w:hAnsi="ING Me"/>
          <w:bCs/>
          <w:sz w:val="20"/>
          <w:szCs w:val="20"/>
          <w:lang w:val="pl-PL"/>
        </w:rPr>
        <w:t>Z</w:t>
      </w:r>
      <w:r w:rsidR="00027F88" w:rsidRPr="0052552B">
        <w:rPr>
          <w:rFonts w:ascii="ING Me" w:hAnsi="ING Me"/>
          <w:bCs/>
          <w:sz w:val="20"/>
          <w:szCs w:val="20"/>
          <w:lang w:val="pl-PL"/>
        </w:rPr>
        <w:t xml:space="preserve">miany  </w:t>
      </w:r>
      <w:r w:rsidR="00027F88" w:rsidRPr="0052552B">
        <w:rPr>
          <w:rFonts w:ascii="ING Me" w:hAnsi="ING Me"/>
          <w:bCs/>
          <w:i/>
          <w:sz w:val="20"/>
          <w:szCs w:val="20"/>
          <w:lang w:val="pl-PL"/>
        </w:rPr>
        <w:t>Statutu</w:t>
      </w:r>
      <w:r w:rsidR="00027F88" w:rsidRPr="0052552B">
        <w:rPr>
          <w:rFonts w:ascii="ING Me" w:hAnsi="ING Me"/>
          <w:bCs/>
          <w:sz w:val="20"/>
          <w:szCs w:val="20"/>
          <w:lang w:val="pl-PL"/>
        </w:rPr>
        <w:t xml:space="preserve"> </w:t>
      </w:r>
      <w:r w:rsidR="00027F88" w:rsidRPr="0052552B">
        <w:rPr>
          <w:rFonts w:ascii="ING Me" w:hAnsi="ING Me"/>
          <w:bCs/>
          <w:i/>
          <w:iCs/>
          <w:sz w:val="20"/>
          <w:szCs w:val="20"/>
          <w:lang w:val="pl-PL"/>
        </w:rPr>
        <w:t>ING Banku Hipote</w:t>
      </w:r>
      <w:r w:rsidR="00027F88" w:rsidRPr="0052552B">
        <w:rPr>
          <w:rFonts w:ascii="ING Me" w:hAnsi="ING Me"/>
          <w:bCs/>
          <w:i/>
          <w:iCs/>
          <w:color w:val="auto"/>
          <w:sz w:val="20"/>
          <w:szCs w:val="20"/>
          <w:lang w:val="pl-PL"/>
        </w:rPr>
        <w:t xml:space="preserve">cznego S.A. </w:t>
      </w:r>
      <w:r w:rsidR="00027F88" w:rsidRPr="0052552B">
        <w:rPr>
          <w:rFonts w:ascii="ING Me" w:hAnsi="ING Me"/>
          <w:bCs/>
          <w:iCs/>
          <w:color w:val="auto"/>
          <w:sz w:val="20"/>
          <w:szCs w:val="20"/>
          <w:lang w:val="pl-PL"/>
        </w:rPr>
        <w:t>obejmujące dostosowanie jego postanowień do znowelizowanego Kodeksu spółek handlowych oraz Ustawy o listach zastawnych i bankach hipotecznych.</w:t>
      </w:r>
    </w:p>
    <w:p w:rsidR="00027F88" w:rsidRPr="00263F45" w:rsidRDefault="00027F88" w:rsidP="00027F88">
      <w:pPr>
        <w:spacing w:line="240" w:lineRule="auto"/>
        <w:jc w:val="center"/>
        <w:rPr>
          <w:rFonts w:ascii="ING Me" w:hAnsi="ING Me"/>
          <w:bCs/>
          <w:color w:val="000000"/>
          <w:szCs w:val="20"/>
          <w:highlight w:val="yellow"/>
          <w:lang w:val="pl-PL"/>
        </w:rPr>
      </w:pPr>
    </w:p>
    <w:p w:rsidR="00027F88" w:rsidRPr="00263F45" w:rsidRDefault="00027F88" w:rsidP="0052552B">
      <w:pPr>
        <w:pStyle w:val="Akapitzlist"/>
        <w:numPr>
          <w:ilvl w:val="1"/>
          <w:numId w:val="3"/>
        </w:numPr>
        <w:spacing w:line="240" w:lineRule="auto"/>
        <w:ind w:left="709"/>
        <w:jc w:val="both"/>
        <w:rPr>
          <w:rFonts w:ascii="ING Me" w:hAnsi="ING Me" w:cs="Arial"/>
          <w:szCs w:val="20"/>
          <w:shd w:val="clear" w:color="auto" w:fill="FFFFFF"/>
          <w:lang w:val="pl-PL"/>
        </w:rPr>
      </w:pPr>
      <w:r w:rsidRPr="00263F45">
        <w:rPr>
          <w:rFonts w:ascii="ING Me" w:hAnsi="ING Me" w:cs="Arial"/>
          <w:szCs w:val="20"/>
          <w:shd w:val="clear" w:color="auto" w:fill="FFFFFF"/>
          <w:lang w:val="pl-PL"/>
        </w:rPr>
        <w:t>§ 8 ust. 3 lit b) otrzymuje brzmienie:</w:t>
      </w:r>
    </w:p>
    <w:p w:rsidR="00027F88" w:rsidRPr="00263F45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jc w:val="both"/>
        <w:rPr>
          <w:rFonts w:ascii="ING Me" w:hAnsi="ING Me" w:cs="Arial"/>
          <w:szCs w:val="20"/>
          <w:shd w:val="clear" w:color="auto" w:fill="FFFFFF"/>
          <w:lang w:val="pl-PL"/>
        </w:rPr>
      </w:pPr>
    </w:p>
    <w:p w:rsidR="00027F88" w:rsidRPr="0052552B" w:rsidRDefault="00027F88" w:rsidP="0052552B">
      <w:pPr>
        <w:spacing w:line="240" w:lineRule="auto"/>
        <w:ind w:left="709"/>
        <w:jc w:val="both"/>
        <w:rPr>
          <w:rFonts w:ascii="ING Me" w:hAnsi="ING Me" w:cs="Arial"/>
          <w:b/>
          <w:szCs w:val="20"/>
          <w:shd w:val="clear" w:color="auto" w:fill="FFFFFF"/>
        </w:rPr>
      </w:pPr>
      <w:r w:rsidRPr="0052552B">
        <w:rPr>
          <w:rFonts w:ascii="ING Me" w:hAnsi="ING Me" w:cs="Arial"/>
          <w:b/>
          <w:szCs w:val="20"/>
          <w:shd w:val="clear" w:color="auto" w:fill="FFFFFF"/>
        </w:rPr>
        <w:t>“b) wykonywać czynności ograniczające ryzyko walutowe i ryzyko stopy procentowej, z zastrzeżeniem, że w przypadku emitowania hipotecznych listów zastawnych w walucie innej niż waluta, w której wyrażone są wierzytelności Banku zabezpieczające te listy, lub waluta, w której wyrażone są środki, o których mowa w ustawie o listach zastawnych i bankach hipotecznych, Bank obowiązany jest do dokonania czynności ograniczających ryzyko walutowe, w tym zawierać umowy o instrument pochodny.”</w:t>
      </w:r>
    </w:p>
    <w:p w:rsidR="00027F88" w:rsidRDefault="00027F88" w:rsidP="0052552B">
      <w:pPr>
        <w:spacing w:line="240" w:lineRule="auto"/>
        <w:ind w:left="709"/>
        <w:jc w:val="both"/>
        <w:rPr>
          <w:rFonts w:ascii="ING Me" w:hAnsi="ING Me" w:cs="Arial"/>
          <w:b/>
          <w:szCs w:val="20"/>
          <w:shd w:val="clear" w:color="auto" w:fill="FFFFFF"/>
        </w:rPr>
      </w:pPr>
    </w:p>
    <w:p w:rsidR="00700D3A" w:rsidRPr="00994F22" w:rsidRDefault="00700D3A" w:rsidP="0052552B">
      <w:pPr>
        <w:spacing w:line="240" w:lineRule="auto"/>
        <w:ind w:left="709"/>
        <w:jc w:val="both"/>
        <w:rPr>
          <w:rFonts w:ascii="ING Me" w:hAnsi="ING Me" w:cs="Arial"/>
          <w:szCs w:val="20"/>
          <w:shd w:val="clear" w:color="auto" w:fill="FFFFFF"/>
        </w:rPr>
      </w:pPr>
      <w:r w:rsidRPr="00994F22">
        <w:rPr>
          <w:rFonts w:ascii="ING Me" w:hAnsi="ING Me" w:cs="Arial"/>
          <w:szCs w:val="20"/>
          <w:shd w:val="clear" w:color="auto" w:fill="FFFFFF"/>
        </w:rPr>
        <w:lastRenderedPageBreak/>
        <w:t>Dotychczasowe brzmienie:</w:t>
      </w:r>
    </w:p>
    <w:p w:rsidR="00700D3A" w:rsidRDefault="00700D3A" w:rsidP="0052552B">
      <w:pPr>
        <w:spacing w:line="240" w:lineRule="auto"/>
        <w:ind w:left="709"/>
        <w:jc w:val="both"/>
        <w:rPr>
          <w:rFonts w:ascii="ING Me" w:hAnsi="ING Me" w:cs="Arial"/>
          <w:b/>
          <w:szCs w:val="20"/>
          <w:shd w:val="clear" w:color="auto" w:fill="FFFFFF"/>
        </w:rPr>
      </w:pPr>
      <w:r>
        <w:rPr>
          <w:rFonts w:ascii="ING Me" w:hAnsi="ING Me" w:cs="Arial"/>
          <w:b/>
          <w:szCs w:val="20"/>
          <w:shd w:val="clear" w:color="auto" w:fill="FFFFFF"/>
        </w:rPr>
        <w:t xml:space="preserve"> </w:t>
      </w:r>
    </w:p>
    <w:p w:rsidR="00700D3A" w:rsidRPr="003A0558" w:rsidRDefault="00700D3A" w:rsidP="0052552B">
      <w:pPr>
        <w:spacing w:line="240" w:lineRule="auto"/>
        <w:ind w:left="709"/>
        <w:jc w:val="both"/>
        <w:rPr>
          <w:rFonts w:ascii="ING Me" w:hAnsi="ING Me" w:cs="Arial"/>
          <w:b/>
          <w:szCs w:val="20"/>
          <w:shd w:val="clear" w:color="auto" w:fill="FFFFFF"/>
        </w:rPr>
      </w:pPr>
      <w:r w:rsidRPr="00994F22">
        <w:rPr>
          <w:rFonts w:ascii="ING Me" w:hAnsi="ING Me"/>
          <w:szCs w:val="20"/>
        </w:rPr>
        <w:t>“b) wykonywać czynności ograniczające ryzyko walutowe i ryzyko stopy procentowej, z zastrzeżeniem, że w przypadku emitowania hipotecznych listów zastawnych w walucie innej niż waluta, w której wyrażone są wierzytelności Banku zabezpieczające te listy, lub waluta, w której wyrażone są środki, o których mowa w ustawie o listach zastawnych i bankach hipotecznych, Bank obowiązany jest do dokonania czynności ograniczających ryzyko walutowe.”</w:t>
      </w:r>
    </w:p>
    <w:p w:rsidR="00700D3A" w:rsidRPr="0052552B" w:rsidRDefault="00700D3A" w:rsidP="0052552B">
      <w:pPr>
        <w:spacing w:line="240" w:lineRule="auto"/>
        <w:ind w:left="709"/>
        <w:jc w:val="both"/>
        <w:rPr>
          <w:rFonts w:ascii="ING Me" w:hAnsi="ING Me" w:cs="Arial"/>
          <w:b/>
          <w:szCs w:val="20"/>
          <w:shd w:val="clear" w:color="auto" w:fill="FFFFFF"/>
        </w:rPr>
      </w:pPr>
    </w:p>
    <w:p w:rsidR="00027F88" w:rsidRPr="00263F45" w:rsidRDefault="00027F88" w:rsidP="0052552B">
      <w:pPr>
        <w:pStyle w:val="Akapitzlist"/>
        <w:numPr>
          <w:ilvl w:val="0"/>
          <w:numId w:val="5"/>
        </w:numPr>
        <w:spacing w:line="240" w:lineRule="auto"/>
        <w:ind w:left="709"/>
        <w:jc w:val="both"/>
        <w:rPr>
          <w:rFonts w:ascii="ING Me" w:hAnsi="ING Me" w:cs="Arial"/>
          <w:szCs w:val="20"/>
          <w:shd w:val="clear" w:color="auto" w:fill="FFFFFF"/>
          <w:lang w:val="pl-PL"/>
        </w:rPr>
      </w:pPr>
      <w:r w:rsidRPr="0099200B">
        <w:rPr>
          <w:rFonts w:ascii="ING Me" w:hAnsi="ING Me"/>
          <w:szCs w:val="20"/>
          <w:lang w:val="pl-PL"/>
        </w:rPr>
        <w:t>Dotychczasową treść § 22 oznacza się jako ustęp 1, po którym dodaje się nowy ustęp 2</w:t>
      </w:r>
      <w:r w:rsidRPr="00263F45">
        <w:rPr>
          <w:rFonts w:ascii="ING Me" w:hAnsi="ING Me" w:cs="Arial"/>
          <w:szCs w:val="20"/>
          <w:shd w:val="clear" w:color="auto" w:fill="FFFFFF"/>
          <w:lang w:val="pl-PL"/>
        </w:rPr>
        <w:t xml:space="preserve"> o następującym brzmieniu:</w:t>
      </w:r>
    </w:p>
    <w:p w:rsidR="00027F88" w:rsidRPr="00263F45" w:rsidRDefault="00027F88" w:rsidP="0052552B">
      <w:pPr>
        <w:spacing w:line="240" w:lineRule="auto"/>
        <w:ind w:left="709"/>
        <w:jc w:val="both"/>
        <w:rPr>
          <w:rFonts w:ascii="ING Me" w:hAnsi="ING Me"/>
          <w:szCs w:val="20"/>
          <w:lang w:val="pl-PL"/>
        </w:rPr>
      </w:pPr>
    </w:p>
    <w:p w:rsidR="00A52A8C" w:rsidRPr="00994F22" w:rsidRDefault="00027F88" w:rsidP="0052552B">
      <w:pPr>
        <w:spacing w:line="240" w:lineRule="auto"/>
        <w:ind w:left="709"/>
        <w:jc w:val="both"/>
        <w:rPr>
          <w:rFonts w:ascii="ING Me" w:hAnsi="ING Me"/>
          <w:b/>
          <w:szCs w:val="20"/>
        </w:rPr>
      </w:pPr>
      <w:r w:rsidRPr="0052552B">
        <w:rPr>
          <w:rFonts w:ascii="ING Me" w:hAnsi="ING Me"/>
          <w:b/>
          <w:szCs w:val="20"/>
          <w:lang w:val="pl-PL"/>
        </w:rPr>
        <w:t>„</w:t>
      </w:r>
      <w:r w:rsidR="00A52A8C" w:rsidRPr="00A52A8C">
        <w:rPr>
          <w:rFonts w:ascii="ING Me" w:hAnsi="ING Me"/>
          <w:b/>
          <w:szCs w:val="20"/>
          <w:lang w:val="pl-PL"/>
        </w:rPr>
        <w:t xml:space="preserve">1. </w:t>
      </w:r>
      <w:r w:rsidR="00A52A8C" w:rsidRPr="00994F22">
        <w:rPr>
          <w:rFonts w:ascii="ING Me" w:hAnsi="ING Me"/>
          <w:b/>
          <w:szCs w:val="20"/>
        </w:rPr>
        <w:t>Rada Nadzorcza wybiera ze swego grona Przewodniczącego, Wiceprzewodniczącego</w:t>
      </w:r>
      <w:r w:rsidR="00A52A8C" w:rsidRPr="00994F22">
        <w:rPr>
          <w:rFonts w:ascii="ING Me" w:hAnsi="ING Me"/>
          <w:b/>
          <w:szCs w:val="20"/>
        </w:rPr>
        <w:br/>
        <w:t>i Sekretarza.</w:t>
      </w:r>
    </w:p>
    <w:p w:rsidR="00027F88" w:rsidRDefault="00027F88" w:rsidP="0052552B">
      <w:pPr>
        <w:spacing w:line="240" w:lineRule="auto"/>
        <w:ind w:left="709"/>
        <w:jc w:val="both"/>
        <w:rPr>
          <w:rFonts w:ascii="ING Me" w:hAnsi="ING Me"/>
          <w:b/>
          <w:szCs w:val="20"/>
          <w:lang w:val="pl-PL"/>
        </w:rPr>
      </w:pPr>
      <w:r w:rsidRPr="0052552B">
        <w:rPr>
          <w:rFonts w:ascii="ING Me" w:hAnsi="ING Me"/>
          <w:b/>
          <w:szCs w:val="20"/>
          <w:lang w:val="pl-PL"/>
        </w:rPr>
        <w:t>2. Przewodniczący Rady Nadzorczej zwołuje posiedzenia Rady, kieruje jej pracami oraz zapewnia prawidłowe organizowanie prac Rady. W przypadku nieobecności lub przeszkody w wykonywaniu funkcji Przewodniczącego Rady, jego prawa i obowiązki wykonuje Wiceprzewodniczący Rady.”</w:t>
      </w:r>
    </w:p>
    <w:p w:rsidR="00A52A8C" w:rsidRDefault="00A52A8C" w:rsidP="0052552B">
      <w:pPr>
        <w:spacing w:line="240" w:lineRule="auto"/>
        <w:ind w:left="709"/>
        <w:jc w:val="both"/>
        <w:rPr>
          <w:rFonts w:ascii="ING Me" w:hAnsi="ING Me"/>
          <w:b/>
          <w:szCs w:val="20"/>
          <w:lang w:val="pl-PL"/>
        </w:rPr>
      </w:pPr>
    </w:p>
    <w:p w:rsidR="00A52A8C" w:rsidRPr="00994F22" w:rsidRDefault="00A52A8C" w:rsidP="0052552B">
      <w:pPr>
        <w:spacing w:line="240" w:lineRule="auto"/>
        <w:ind w:left="709"/>
        <w:jc w:val="both"/>
        <w:rPr>
          <w:rFonts w:ascii="ING Me" w:hAnsi="ING Me"/>
          <w:szCs w:val="20"/>
          <w:lang w:val="pl-PL"/>
        </w:rPr>
      </w:pPr>
      <w:r w:rsidRPr="00994F22">
        <w:rPr>
          <w:rFonts w:ascii="ING Me" w:hAnsi="ING Me"/>
          <w:szCs w:val="20"/>
          <w:lang w:val="pl-PL"/>
        </w:rPr>
        <w:t>Dotychczasowe brzmienie:</w:t>
      </w:r>
    </w:p>
    <w:p w:rsidR="00A52A8C" w:rsidRDefault="00A52A8C" w:rsidP="0052552B">
      <w:pPr>
        <w:spacing w:line="240" w:lineRule="auto"/>
        <w:ind w:left="709"/>
        <w:jc w:val="both"/>
        <w:rPr>
          <w:rFonts w:ascii="ING Me" w:hAnsi="ING Me"/>
          <w:b/>
          <w:szCs w:val="20"/>
          <w:lang w:val="pl-PL"/>
        </w:rPr>
      </w:pPr>
    </w:p>
    <w:p w:rsidR="00A52A8C" w:rsidRPr="00994F22" w:rsidRDefault="00A52A8C" w:rsidP="00A52A8C">
      <w:pPr>
        <w:pStyle w:val="Nagwek"/>
        <w:keepLines/>
        <w:tabs>
          <w:tab w:val="clear" w:pos="4536"/>
          <w:tab w:val="clear" w:pos="9072"/>
        </w:tabs>
        <w:ind w:left="708"/>
        <w:rPr>
          <w:rFonts w:ascii="ING Me" w:hAnsi="ING Me"/>
          <w:sz w:val="20"/>
        </w:rPr>
      </w:pPr>
      <w:r w:rsidRPr="00994F22">
        <w:rPr>
          <w:rFonts w:ascii="ING Me" w:hAnsi="ING Me"/>
          <w:sz w:val="20"/>
        </w:rPr>
        <w:t>„</w:t>
      </w:r>
      <w:r w:rsidRPr="002B618D">
        <w:rPr>
          <w:rFonts w:ascii="ING Me" w:hAnsi="ING Me"/>
          <w:sz w:val="20"/>
        </w:rPr>
        <w:t>Rada Nadzorcza wybiera ze swego grona Przewodniczącego, Wiceprzewodniczącego</w:t>
      </w:r>
      <w:r w:rsidRPr="002B618D">
        <w:rPr>
          <w:rFonts w:ascii="ING Me" w:hAnsi="ING Me"/>
          <w:sz w:val="20"/>
        </w:rPr>
        <w:br/>
        <w:t>i Sekretarza.</w:t>
      </w:r>
      <w:r>
        <w:rPr>
          <w:rFonts w:ascii="ING Me" w:hAnsi="ING Me"/>
          <w:sz w:val="20"/>
        </w:rPr>
        <w:t>”</w:t>
      </w:r>
    </w:p>
    <w:p w:rsidR="00A52A8C" w:rsidRPr="0052552B" w:rsidRDefault="00A52A8C" w:rsidP="0052552B">
      <w:pPr>
        <w:spacing w:line="240" w:lineRule="auto"/>
        <w:ind w:left="709"/>
        <w:jc w:val="both"/>
        <w:rPr>
          <w:rFonts w:ascii="ING Me" w:hAnsi="ING Me"/>
          <w:b/>
          <w:szCs w:val="20"/>
          <w:lang w:val="pl-PL"/>
        </w:rPr>
      </w:pPr>
    </w:p>
    <w:p w:rsidR="00027F88" w:rsidRPr="00263F45" w:rsidRDefault="00027F88" w:rsidP="0052552B">
      <w:pPr>
        <w:spacing w:line="240" w:lineRule="auto"/>
        <w:ind w:left="709"/>
        <w:jc w:val="both"/>
        <w:rPr>
          <w:rFonts w:ascii="ING Me" w:hAnsi="ING Me"/>
          <w:szCs w:val="20"/>
        </w:rPr>
      </w:pPr>
    </w:p>
    <w:p w:rsidR="00027F88" w:rsidRPr="0099200B" w:rsidRDefault="00027F88" w:rsidP="0052552B">
      <w:pPr>
        <w:pStyle w:val="Akapitzlist"/>
        <w:numPr>
          <w:ilvl w:val="0"/>
          <w:numId w:val="5"/>
        </w:numPr>
        <w:spacing w:line="240" w:lineRule="auto"/>
        <w:ind w:left="709"/>
        <w:jc w:val="both"/>
        <w:rPr>
          <w:rFonts w:ascii="ING Me" w:hAnsi="ING Me"/>
          <w:szCs w:val="20"/>
          <w:lang w:val="pl-PL"/>
        </w:rPr>
      </w:pPr>
      <w:r w:rsidRPr="00263F45">
        <w:rPr>
          <w:rFonts w:ascii="ING Me" w:hAnsi="ING Me" w:cs="Arial"/>
          <w:szCs w:val="20"/>
          <w:shd w:val="clear" w:color="auto" w:fill="FFFFFF"/>
          <w:lang w:val="pl-PL"/>
        </w:rPr>
        <w:t>W § 26 po ustępie 3 dodaje się nowy ustęp 4 o następującej treści:</w:t>
      </w:r>
    </w:p>
    <w:p w:rsidR="00027F88" w:rsidRPr="00263F45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jc w:val="both"/>
        <w:rPr>
          <w:rFonts w:ascii="ING Me" w:hAnsi="ING Me"/>
          <w:szCs w:val="20"/>
          <w:lang w:val="pl-PL"/>
        </w:rPr>
      </w:pPr>
    </w:p>
    <w:p w:rsidR="00027F88" w:rsidRPr="0052552B" w:rsidRDefault="00027F88" w:rsidP="0052552B">
      <w:pPr>
        <w:spacing w:line="240" w:lineRule="auto"/>
        <w:ind w:left="709"/>
        <w:jc w:val="both"/>
        <w:rPr>
          <w:rFonts w:ascii="ING Me" w:hAnsi="ING Me"/>
          <w:b/>
          <w:szCs w:val="20"/>
        </w:rPr>
      </w:pPr>
      <w:r w:rsidRPr="0052552B">
        <w:rPr>
          <w:rFonts w:ascii="ING Me" w:hAnsi="ING Me" w:cs="Arial"/>
          <w:b/>
          <w:szCs w:val="20"/>
          <w:shd w:val="clear" w:color="auto" w:fill="FFFFFF"/>
        </w:rPr>
        <w:t xml:space="preserve">“4. </w:t>
      </w:r>
      <w:r w:rsidRPr="0052552B">
        <w:rPr>
          <w:rFonts w:ascii="ING Me" w:hAnsi="ING Me"/>
          <w:b/>
          <w:szCs w:val="20"/>
        </w:rPr>
        <w:t>Zgody Rady Nadzorczej nie wymaga zawarcie ze spółką dominującą transakcji, której wartość zsumowana z wartością transakcji zawartych z tą spółką w okresie roku obrotowego przekracza 10% sumy aktywów Banku w rozumieniu przepisów o rachunkowości, ustalonych na podstawie ostatniego zatwierdzonego sprawozdania finansowego spółki.”</w:t>
      </w:r>
    </w:p>
    <w:p w:rsidR="00027F88" w:rsidRDefault="00027F88" w:rsidP="0052552B">
      <w:pPr>
        <w:spacing w:line="240" w:lineRule="auto"/>
        <w:ind w:left="709"/>
        <w:jc w:val="both"/>
        <w:rPr>
          <w:rFonts w:ascii="ING Me" w:hAnsi="ING Me"/>
          <w:szCs w:val="20"/>
        </w:rPr>
      </w:pPr>
    </w:p>
    <w:p w:rsidR="00A52A8C" w:rsidRPr="0049656B" w:rsidRDefault="00A52A8C" w:rsidP="0052552B">
      <w:pPr>
        <w:spacing w:line="240" w:lineRule="auto"/>
        <w:ind w:left="709"/>
        <w:jc w:val="both"/>
        <w:rPr>
          <w:rFonts w:ascii="ING Me" w:hAnsi="ING Me"/>
          <w:szCs w:val="20"/>
        </w:rPr>
      </w:pPr>
      <w:r w:rsidRPr="00994F22">
        <w:rPr>
          <w:rFonts w:ascii="ING Me" w:hAnsi="ING Me"/>
          <w:szCs w:val="20"/>
          <w:lang w:val="pl-PL"/>
        </w:rPr>
        <w:t xml:space="preserve">Dotychczasowe brzmienie: </w:t>
      </w:r>
      <w:r w:rsidRPr="0049656B">
        <w:rPr>
          <w:rFonts w:ascii="ING Me" w:hAnsi="ING Me"/>
          <w:szCs w:val="20"/>
          <w:lang w:val="pl-PL"/>
        </w:rPr>
        <w:t>Brak</w:t>
      </w:r>
    </w:p>
    <w:p w:rsidR="00A52A8C" w:rsidRPr="00263F45" w:rsidRDefault="00A52A8C" w:rsidP="0052552B">
      <w:pPr>
        <w:spacing w:line="240" w:lineRule="auto"/>
        <w:ind w:left="709"/>
        <w:jc w:val="both"/>
        <w:rPr>
          <w:rFonts w:ascii="ING Me" w:hAnsi="ING Me"/>
          <w:szCs w:val="20"/>
        </w:rPr>
      </w:pPr>
    </w:p>
    <w:p w:rsidR="00027F88" w:rsidRPr="00263F45" w:rsidRDefault="00027F88" w:rsidP="0052552B">
      <w:pPr>
        <w:pStyle w:val="Akapitzlist"/>
        <w:numPr>
          <w:ilvl w:val="0"/>
          <w:numId w:val="5"/>
        </w:numPr>
        <w:spacing w:line="240" w:lineRule="auto"/>
        <w:ind w:left="709"/>
        <w:jc w:val="both"/>
        <w:rPr>
          <w:rFonts w:ascii="ING Me" w:hAnsi="ING Me" w:cs="Arial"/>
          <w:szCs w:val="20"/>
          <w:shd w:val="clear" w:color="auto" w:fill="FFFFFF"/>
          <w:lang w:val="pl-PL"/>
        </w:rPr>
      </w:pPr>
      <w:r w:rsidRPr="00263F45">
        <w:rPr>
          <w:rFonts w:ascii="ING Me" w:hAnsi="ING Me" w:cs="Arial"/>
          <w:szCs w:val="20"/>
          <w:shd w:val="clear" w:color="auto" w:fill="FFFFFF"/>
          <w:lang w:val="pl-PL"/>
        </w:rPr>
        <w:t>§ 33 ust. 1 pkt 4) otrzymuje brzmienie:</w:t>
      </w:r>
    </w:p>
    <w:p w:rsidR="00027F88" w:rsidRPr="00263F45" w:rsidRDefault="00027F88" w:rsidP="0052552B">
      <w:pPr>
        <w:pStyle w:val="Akapitzlist"/>
        <w:numPr>
          <w:ilvl w:val="0"/>
          <w:numId w:val="0"/>
        </w:numPr>
        <w:spacing w:line="240" w:lineRule="auto"/>
        <w:ind w:left="709"/>
        <w:jc w:val="both"/>
        <w:rPr>
          <w:rFonts w:ascii="ING Me" w:hAnsi="ING Me" w:cs="Arial"/>
          <w:szCs w:val="20"/>
          <w:shd w:val="clear" w:color="auto" w:fill="FFFFFF"/>
          <w:lang w:val="pl-PL"/>
        </w:rPr>
      </w:pPr>
    </w:p>
    <w:p w:rsidR="00027F88" w:rsidRPr="0052552B" w:rsidRDefault="00027F88" w:rsidP="0052552B">
      <w:pPr>
        <w:spacing w:line="240" w:lineRule="auto"/>
        <w:ind w:left="709"/>
        <w:jc w:val="both"/>
        <w:rPr>
          <w:rFonts w:ascii="ING Me" w:hAnsi="ING Me"/>
          <w:b/>
          <w:bCs/>
          <w:color w:val="000000"/>
          <w:szCs w:val="20"/>
          <w:lang w:val="pl-PL"/>
        </w:rPr>
      </w:pPr>
      <w:r w:rsidRPr="0052552B">
        <w:rPr>
          <w:rFonts w:ascii="ING Me" w:hAnsi="ING Me"/>
          <w:b/>
          <w:szCs w:val="20"/>
          <w:lang w:val="pl-PL"/>
        </w:rPr>
        <w:t>„4) każdy z członków Zarządu samodzielnie – w zakresie wniosków o zmianę wierzyciela hipotecznego składanych w postępowaniach przed sądami wieczystoksięgowymi.”</w:t>
      </w:r>
    </w:p>
    <w:p w:rsidR="00027F88" w:rsidRPr="00263F45" w:rsidRDefault="00027F88" w:rsidP="0052552B">
      <w:pPr>
        <w:spacing w:line="240" w:lineRule="auto"/>
        <w:ind w:left="709"/>
        <w:jc w:val="both"/>
        <w:rPr>
          <w:rFonts w:ascii="ING Me" w:hAnsi="ING Me"/>
          <w:bCs/>
          <w:color w:val="000000"/>
          <w:szCs w:val="20"/>
          <w:lang w:val="pl-PL"/>
        </w:rPr>
      </w:pPr>
    </w:p>
    <w:p w:rsidR="00A52A8C" w:rsidRPr="0049656B" w:rsidRDefault="00A52A8C" w:rsidP="00994F22">
      <w:pPr>
        <w:pStyle w:val="Akapitzlist"/>
        <w:keepLines/>
        <w:numPr>
          <w:ilvl w:val="0"/>
          <w:numId w:val="0"/>
        </w:numPr>
        <w:spacing w:before="120" w:line="240" w:lineRule="auto"/>
        <w:ind w:left="720"/>
        <w:jc w:val="both"/>
        <w:rPr>
          <w:rFonts w:ascii="ING Me" w:hAnsi="ING Me" w:cs="Times New Roman"/>
          <w:lang w:val="pl-PL"/>
        </w:rPr>
      </w:pPr>
      <w:r w:rsidRPr="00994F22">
        <w:rPr>
          <w:rFonts w:ascii="ING Me" w:hAnsi="ING Me"/>
          <w:szCs w:val="20"/>
          <w:lang w:val="pl-PL"/>
        </w:rPr>
        <w:t>Dotychczasowe brzmienie:</w:t>
      </w:r>
      <w:r w:rsidRPr="0049656B">
        <w:rPr>
          <w:rFonts w:ascii="ING Me" w:hAnsi="ING Me" w:cs="Times New Roman"/>
          <w:lang w:val="pl-PL"/>
        </w:rPr>
        <w:t xml:space="preserve"> </w:t>
      </w:r>
    </w:p>
    <w:p w:rsidR="00A52A8C" w:rsidRDefault="00A52A8C" w:rsidP="00994F22">
      <w:pPr>
        <w:pStyle w:val="Akapitzlist"/>
        <w:keepLines/>
        <w:numPr>
          <w:ilvl w:val="0"/>
          <w:numId w:val="0"/>
        </w:numPr>
        <w:spacing w:before="120" w:line="240" w:lineRule="auto"/>
        <w:ind w:left="720"/>
        <w:jc w:val="both"/>
        <w:rPr>
          <w:rFonts w:ascii="ING Me" w:hAnsi="ING Me" w:cs="Times New Roman"/>
          <w:lang w:val="pl-PL"/>
        </w:rPr>
      </w:pPr>
    </w:p>
    <w:p w:rsidR="00A52A8C" w:rsidRPr="00994F22" w:rsidRDefault="00A52A8C" w:rsidP="00994F22">
      <w:pPr>
        <w:pStyle w:val="Akapitzlist"/>
        <w:keepLines/>
        <w:numPr>
          <w:ilvl w:val="0"/>
          <w:numId w:val="0"/>
        </w:numPr>
        <w:spacing w:before="120" w:line="240" w:lineRule="auto"/>
        <w:ind w:left="720"/>
        <w:jc w:val="both"/>
        <w:rPr>
          <w:rFonts w:ascii="ING Me" w:hAnsi="ING Me" w:cs="Times New Roman"/>
          <w:lang w:val="pl-PL"/>
        </w:rPr>
      </w:pPr>
      <w:r>
        <w:rPr>
          <w:rFonts w:ascii="ING Me" w:hAnsi="ING Me" w:cs="Times New Roman"/>
          <w:lang w:val="pl-PL"/>
        </w:rPr>
        <w:t xml:space="preserve">„4) </w:t>
      </w:r>
      <w:r w:rsidRPr="00994F22">
        <w:rPr>
          <w:rFonts w:ascii="ING Me" w:hAnsi="ING Me" w:cs="Times New Roman"/>
          <w:lang w:val="pl-PL"/>
        </w:rPr>
        <w:t>każdy z członków Zarządu samodzielnie – w zakresie wniosków o zmianę wierzyciela hipotecznego oraz wniosków o ujawnienie informacji dotyczących wpisu wierzytelności zabezpieczonych hipoteką do rejestru zabezpieczenia hipotecznych listów zastawnych, składanych w postepowaniach przed sądami wieczystoksięgowymi.</w:t>
      </w:r>
      <w:r>
        <w:rPr>
          <w:rFonts w:ascii="ING Me" w:hAnsi="ING Me" w:cs="Times New Roman"/>
          <w:lang w:val="pl-PL"/>
        </w:rPr>
        <w:t>”</w:t>
      </w:r>
    </w:p>
    <w:p w:rsidR="00027F88" w:rsidRPr="00263F45" w:rsidRDefault="00027F88" w:rsidP="00027F88">
      <w:pPr>
        <w:pStyle w:val="Default"/>
        <w:ind w:left="284"/>
        <w:jc w:val="both"/>
        <w:rPr>
          <w:rFonts w:ascii="ING Me" w:hAnsi="ING Me"/>
          <w:sz w:val="20"/>
          <w:szCs w:val="20"/>
          <w:lang w:val="pl-PL"/>
        </w:rPr>
      </w:pPr>
    </w:p>
    <w:p w:rsidR="00027F88" w:rsidRPr="0052552B" w:rsidRDefault="0052552B" w:rsidP="0052552B">
      <w:pPr>
        <w:spacing w:line="240" w:lineRule="auto"/>
        <w:jc w:val="both"/>
        <w:rPr>
          <w:rFonts w:ascii="ING Me" w:hAnsi="ING Me"/>
          <w:bCs/>
          <w:szCs w:val="20"/>
          <w:lang w:val="pl-PL"/>
        </w:rPr>
      </w:pPr>
      <w:r w:rsidRPr="0052552B">
        <w:rPr>
          <w:rFonts w:ascii="ING Me" w:hAnsi="ING Me"/>
          <w:szCs w:val="20"/>
          <w:lang w:val="pl-PL"/>
        </w:rPr>
        <w:t>Powyższe zmiany</w:t>
      </w:r>
      <w:r w:rsidR="00027F88" w:rsidRPr="0052552B">
        <w:rPr>
          <w:rFonts w:ascii="ING Me" w:hAnsi="ING Me"/>
          <w:szCs w:val="20"/>
          <w:lang w:val="pl-PL"/>
        </w:rPr>
        <w:t xml:space="preserve"> wchodz</w:t>
      </w:r>
      <w:r w:rsidRPr="0052552B">
        <w:rPr>
          <w:rFonts w:ascii="ING Me" w:hAnsi="ING Me"/>
          <w:szCs w:val="20"/>
          <w:lang w:val="pl-PL"/>
        </w:rPr>
        <w:t>ą</w:t>
      </w:r>
      <w:r w:rsidR="00027F88" w:rsidRPr="0052552B">
        <w:rPr>
          <w:rFonts w:ascii="ING Me" w:hAnsi="ING Me"/>
          <w:szCs w:val="20"/>
          <w:lang w:val="pl-PL"/>
        </w:rPr>
        <w:t xml:space="preserve"> w życie </w:t>
      </w:r>
      <w:r w:rsidR="00027F88" w:rsidRPr="0052552B">
        <w:rPr>
          <w:rFonts w:ascii="ING Me" w:hAnsi="ING Me" w:cs="CIDFont+F3"/>
          <w:szCs w:val="20"/>
          <w:lang w:val="pl-PL"/>
        </w:rPr>
        <w:t>na dzień wpisu uchwalonych zmian Statutu Banku do rejestru przedsiębiorców Krajowego Rejestru Sądowego, zgodnie z art. 430 § 1 Kodeksu spółek handlowych</w:t>
      </w:r>
      <w:r w:rsidR="00027F88" w:rsidRPr="0052552B">
        <w:rPr>
          <w:rFonts w:ascii="ING Me" w:hAnsi="ING Me"/>
          <w:szCs w:val="20"/>
          <w:lang w:val="pl-PL"/>
        </w:rPr>
        <w:t>.</w:t>
      </w:r>
    </w:p>
    <w:p w:rsidR="00027F88" w:rsidRDefault="00027F88"/>
    <w:sectPr w:rsidR="00027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G Me"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A86"/>
    <w:multiLevelType w:val="hybridMultilevel"/>
    <w:tmpl w:val="BF40A02E"/>
    <w:lvl w:ilvl="0" w:tplc="45E00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54C3"/>
    <w:multiLevelType w:val="hybridMultilevel"/>
    <w:tmpl w:val="2AA8E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74B70"/>
    <w:multiLevelType w:val="multilevel"/>
    <w:tmpl w:val="E8A49B16"/>
    <w:lvl w:ilvl="0">
      <w:start w:val="1"/>
      <w:numFmt w:val="decimal"/>
      <w:lvlText w:val="%1."/>
      <w:legacy w:legacy="1" w:legacySpace="0" w:legacyIndent="284"/>
      <w:lvlJc w:val="left"/>
    </w:lvl>
    <w:lvl w:ilvl="1">
      <w:start w:val="1"/>
      <w:numFmt w:val="decimal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lowerLetter"/>
      <w:lvlText w:val="%3)"/>
      <w:legacy w:legacy="1" w:legacySpace="0" w:legacyIndent="284"/>
      <w:lvlJc w:val="left"/>
      <w:pPr>
        <w:ind w:left="852" w:hanging="284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3" w15:restartNumberingAfterBreak="0">
    <w:nsid w:val="1CAE6FE6"/>
    <w:multiLevelType w:val="hybridMultilevel"/>
    <w:tmpl w:val="27764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F40EECC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114EA"/>
    <w:multiLevelType w:val="hybridMultilevel"/>
    <w:tmpl w:val="8610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D746B"/>
    <w:multiLevelType w:val="singleLevel"/>
    <w:tmpl w:val="E8A49B16"/>
    <w:lvl w:ilvl="0">
      <w:start w:val="1"/>
      <w:numFmt w:val="decimal"/>
      <w:lvlText w:val="%1."/>
      <w:legacy w:legacy="1" w:legacySpace="0" w:legacyIndent="284"/>
      <w:lvlJc w:val="left"/>
    </w:lvl>
  </w:abstractNum>
  <w:abstractNum w:abstractNumId="6" w15:restartNumberingAfterBreak="0">
    <w:nsid w:val="4B194E7E"/>
    <w:multiLevelType w:val="hybridMultilevel"/>
    <w:tmpl w:val="32101DDE"/>
    <w:lvl w:ilvl="0" w:tplc="303CB920">
      <w:start w:val="1"/>
      <w:numFmt w:val="upperLetter"/>
      <w:pStyle w:val="Akapitzlist"/>
      <w:lvlText w:val="%1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5DCF0FF6"/>
    <w:multiLevelType w:val="hybridMultilevel"/>
    <w:tmpl w:val="148CAD6C"/>
    <w:lvl w:ilvl="0" w:tplc="DA349E2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6704B"/>
    <w:multiLevelType w:val="hybridMultilevel"/>
    <w:tmpl w:val="7D582C08"/>
    <w:lvl w:ilvl="0" w:tplc="21C60B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F88"/>
    <w:rsid w:val="00027F88"/>
    <w:rsid w:val="00162AF1"/>
    <w:rsid w:val="00177392"/>
    <w:rsid w:val="00272D31"/>
    <w:rsid w:val="00284952"/>
    <w:rsid w:val="003772BE"/>
    <w:rsid w:val="003A0558"/>
    <w:rsid w:val="0049656B"/>
    <w:rsid w:val="0052552B"/>
    <w:rsid w:val="00700D3A"/>
    <w:rsid w:val="00994F22"/>
    <w:rsid w:val="00A52A8C"/>
    <w:rsid w:val="00A6574A"/>
    <w:rsid w:val="00BF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C7F9A-C4C5-4B41-8F0D-E99ED25CB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F88"/>
    <w:pPr>
      <w:spacing w:after="0" w:line="260" w:lineRule="exact"/>
    </w:pPr>
    <w:rPr>
      <w:sz w:val="20"/>
      <w:lang w:val="nl-N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7F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nl-NL"/>
    </w:rPr>
  </w:style>
  <w:style w:type="paragraph" w:styleId="Akapitzlist">
    <w:name w:val="List Paragraph"/>
    <w:basedOn w:val="Normalny"/>
    <w:uiPriority w:val="34"/>
    <w:qFormat/>
    <w:rsid w:val="00027F88"/>
    <w:pPr>
      <w:numPr>
        <w:numId w:val="1"/>
      </w:numPr>
      <w:contextualSpacing/>
    </w:pPr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7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7F8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7F88"/>
    <w:rPr>
      <w:sz w:val="20"/>
      <w:szCs w:val="20"/>
      <w:lang w:val="nl-N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F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F88"/>
    <w:rPr>
      <w:rFonts w:ascii="Segoe UI" w:hAnsi="Segoe UI" w:cs="Segoe UI"/>
      <w:sz w:val="18"/>
      <w:szCs w:val="18"/>
      <w:lang w:val="nl-NL"/>
    </w:rPr>
  </w:style>
  <w:style w:type="paragraph" w:styleId="Nagwek">
    <w:name w:val="header"/>
    <w:basedOn w:val="Normalny"/>
    <w:link w:val="NagwekZnak"/>
    <w:uiPriority w:val="99"/>
    <w:rsid w:val="00A52A8C"/>
    <w:pPr>
      <w:tabs>
        <w:tab w:val="center" w:pos="4536"/>
        <w:tab w:val="right" w:pos="9072"/>
      </w:tabs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52A8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6B0041-9FE6-43C4-8DCA-71EA0C3C5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47DD1-01AC-413D-B368-115725F56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E5CA36-8D79-4F70-A011-A9FE35D51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Bank Śląski S.A.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Walter, A. (Aneta)</dc:creator>
  <cp:keywords/>
  <dc:description/>
  <cp:lastModifiedBy>Walter, A. (Aneta)</cp:lastModifiedBy>
  <cp:revision>12</cp:revision>
  <dcterms:created xsi:type="dcterms:W3CDTF">2023-03-30T10:34:00Z</dcterms:created>
  <dcterms:modified xsi:type="dcterms:W3CDTF">2023-04-06T15:21:00Z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0x0101007153B9783418C74FB79F58E99B805BBB</vt:lpwstr>
  </property>
</Properties>
</file>